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policy, using structured workflows for timely decision-making and efficient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identifying policy violations and anomalous patterns, and escalated findings to senior reviewers for informed decision-making and policy refinement.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cases, identifying recurring fraud patterns, flagging early to reduce repeat-issue investigation time, improving efficiency and reducing risk.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capturing investigation findings, decisions, evidence, and corrective actions for transparent case management.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escalation, mapped to MITRE ATT&amp;CK TTPs, and created PICERL incident reports.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exploit and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