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100% audit-ready case documentation.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risk prioritization, SLA discipline, and remediation tracking.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notes, ensuring compliance tracking and decision trails.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data to VirusTotal, AbuseIPDB, URLScan.io, and cross-referencing WHOIS, DNS,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using Python, AbuseIPDB, and WHOIS to generate domain variants and check live DNS resolution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 using Python, Telegram bot, and theHarvester for domain profiling.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Integrated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Python, detecting injection, auth, and SSRF vulnerabilities, documenting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and cron, and built delta-scan logic to flag newly discovered CVEs and organize patch compliance (remediation tracking) tracking evidence using Nessus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management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