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2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6" w:after="26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2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translating high-volume case review into control evidence, compliance tracking, and decision trails.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identifying policy violations and anomalous patterns, with findings escalated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repeat issues early, reducing investigation cycles before escalation.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6" w:after="26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2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for threat detection, creating audit-ready evidence with SPL correlation searches for brute-force detection, lateral movement.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 using Python, integrating with Splunk alerts, VirusTotal API, and Telegram notifications.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for vendor-neutral format, and performed TCP/IP analysis in Wireshark to detect SYN scans, DNS tunnelling.</w:t>
      </w:r>
    </w:p>
    <w:p w14:paraId="50EFC0D0" w14:textId="77777777" w:rsidR="00F85316" w:rsidRDefault="00F85316">
      <w:pPr>
        <w:spacing w:before="26" w:after="26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APIs in Python.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compliance checker validating web application security controls against regulatory requirements.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compliance scan scheduling via Bash and cron, and built delta-scan logic to track remediation progress.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6" w:after="26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2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89" w:after="8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Compliance and Security: </w:t>
      </w:r>
      <w:r>
        <w:rPr>
          <w:rFonts w:ascii="Source Sans Pro" w:eastAsia="Source Sans Pro" w:hAnsi="Source Sans Pro" w:cs="Source Sans Pro"/>
          <w:sz w:val="19"/>
          <w:szCs w:val="19"/>
        </w:rPr>
        <w:t>compliance, security, audit-ready evidence</w:t>
      </w:r>
    </w:p>
    <w:p w14:paraId="7542F506" w14:textId="77777777" w:rsidR="00F85316" w:rsidRDefault="00000000">
      <w:pPr>
        <w:spacing w:before="89" w:after="8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Assessment and Management: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vulnerability management, threat detection</w:t>
      </w:r>
    </w:p>
    <w:p w14:paraId="24BEE31D" w14:textId="77777777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Control Mapping and Documentatio: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4A1B93A5" w14:textId="77777777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Information Security and Governa: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EFBFF0E" w14:textId="77777777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Monitoring and Incident Response: </w:t>
      </w:r>
      <w:r>
        <w:rPr>
          <w:rFonts w:ascii="Source Sans Pro" w:eastAsia="Source Sans Pro" w:hAnsi="Source Sans Pro" w:cs="Source Sans Pro"/>
          <w:sz w:val="19"/>
          <w:szCs w:val="19"/>
        </w:rPr>
        <w:t>compliance monitoring, incident response, threat intelligence, ISO 27001, zero trust, gdpr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6" w:after="26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2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