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policy violations and anomalous patterns.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and escalating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case findings, decisions, evidence notes, and corrective actions in audit-ready case records, maintaining accurate and thorough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