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routing high-risk claims to senior review within same-day SLA with no escalation omissions.</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seller claims for policy violations and anomalous patterns across 200+ weekly cases; documented root-cause findings with supporting evidence for senior reviewer sign-off.</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Maintained structured case records capturing investigation rationale, policy evidence, and corrective actions, producing audit-ready documentation for compliance review.</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supporting bulk CSV input/output for incident response workflows and including OSINT enrichment via theHarvester for domain profiling using Python, Telegram bot, and WHOIS.</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documenting SQL injection exploit and parameterised query remediation using Python, Bash, and Nessus.</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tracking evidence using Python, Bash, and Nessus.</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