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security protocols to ensure accurate decision-making and reducing repeat-issue investigation time by 20%.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cyber policy violations and anomalous patterns, and escalated findings to senior reviewers for timely resolution.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