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workflows to inform decision-making and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 for compliance validation.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to ensure transparency and accountability.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flagging them early to reduce repeat-issue investigation time and prevent potential security breaches.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management,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