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producing a compliance‑ready case queue.</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generating actionable compliance evidence.</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audit‑ready case records with investigation findings, decisions, evidence notes, and corrective actions, creating a control evidence repository.</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multi‑API threat intelligence pipeline in Python that submits suspicious URLs and IPs to VirusTotal and AbuseIPDB and cross‑references WHOIS registration age, DNS records and SSL details for comprehensive phishing analysis report.</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typosquatting domain detector in Python that generates character‑substitution variants of brand domains and checks live DNS resolution for brand‑impersonation analysis resulting in a typosquatting detection list.</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Telegram bot interface in Python enabling analysts to submit URLs for live IOC enrichment and supports bulk CSV input and output for incident response workflows while incorporating OSINT enrichment via theHarvester for domain profiling bot for IOC enrichment.</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automated vulnerability assessment pipeline in Python that integrates Nessus and OpenVAS REST APIs and generates CVE reports classified by CVSS severity and EPSS context from the FIRST.org API EPSS‑enhanced CVE report.</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OWASP Top 10 automated web checker in Python that sends crafted HTTP requests to detect injection, broken authentication and SSRF vulnerabilities and documented SQL injection exploit with remediation steps documented SQL injection exploit.</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with Bash and cron, added delta‑scan logic to flag newly discovered CVEs and organized patch compliance tracking evidence patch compliance tracking evidence.</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