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escalated findings to senior reviewers, resolving high-priority issues in a timely manner.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identified policy violations and anomalous patterns, and documented findings in audit-ready case notes, leading to informed decision-making.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spot recurring fraud patterns, flagged them early, and reduced repeat-issue investigation time before escalation, resulting in improved compliance tracking.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evidence, and corrective actions in audit-ready case notes, maintaining a comprehensive decision trail and control evidence, triaging 50+ weekly cases.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using Python, AbuseIPDB, and WHOIS to generate domain variants and check live DNS resolution for brand-impersonation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 using Python, Telegram bot, and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 to detect injection, auth, and SSRF vulnerabilities, and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built delta-scan logic to flag new CVEs and track patch compliance using Nessus and OpenVAS REST APIs in Python.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