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5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35" w:after="35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adhering to structured alert triage and escalation workflow used in SOC Tier 1 analyst roles.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documentation, recording investigation findings, decisions, and corrective actions to establish evidence chain-of-custody discipline.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35" w:after="3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20" w:after="0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 detection, lateral movement, and privilege escalation; mapped TTPs to MITRE ATT&amp;CK (T1110, T1078, T1059) and wrote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SOAR-style detection pipeline: Python script ingests Splunk alerts, enriches with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rules; analyzed TCP/IP traffic in Wireshark for SYN scans, DNS tunnelling, and plaintext credential exposure.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5" w:after="35"/>
      </w:pPr>
    </w:p>
    <w:p w14:paraId="18C4CB2C" w14:textId="77777777" w:rsidR="00F85316" w:rsidRDefault="00000000">
      <w:pPr>
        <w:tabs>
          <w:tab w:val="right" w:pos="10800"/>
        </w:tabs>
        <w:spacing w:before="30" w:after="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data to VirusTotal, AbuseIPDB, and URLScan.io; cross-references WHOIS, DNS, and SSL details for unified phishing probability score.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typosquatting detector generating domain variants and checking live DNS resolution to catch brand-impersonation attacks before they reach threat feeds (T1110/T1078).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Telegram bot interface for live IOC enrichment, supporting bulk CSV input/output and OSINT enrichment via theHarvester for domain profiling.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35" w:after="3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0B26B034" w14:textId="554AE86F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B26B034" w14:textId="554AE86F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B26B034" w14:textId="554AE86F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0B26B034" w14:textId="554AE86F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incident response, response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35" w:after="3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