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and prevent policy exception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risk, risk identification, risk prioritization, 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audit-ready case notes for control evidence by integrating risk identification and risk prioritization: analyzed suspicious URLs/IPs via VirusTotal, AbuseIPDB, and URLScan.io, and cross-referenced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risk-based policy exception handling by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risk-focused decision trails by enabling analysts to submit URLs for live IOC enrichment via a Telegram bot interface; supported bulk CSV input/output for incident response workflows and included OSINT enrichment via theHarvester for domain profiling.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risk, risk identification, risk prioritization, Python, Bash, Nessus, OpenVAS, NVD API, FIRST.org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risk assessment pipeline integrating Nessus and OpenVAS REST APIs in Python; generated CVE reports classified by CVSS severity and EPSS context from the FIRST.org API for control gap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risk-based OWASP Top 10 automated web checker that sends crafted HTTP requests to detect injection, broken auth, and SSRF vulnerabilities; documented SQL injection exploit and parameterised query remediation for escalation priorities.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risk-focused scan scheduling via Bash and cron; built delta-scan logic to flag newly discovered CVEs and organize patch compliance tracking evidence for control gap analysis.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