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decision-making.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leading to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identify recurring fraud patterns, flagging them early to reduce repeat-issue investigation time before escalation, resulting in efficient issue resolution.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ensuring transparency and accountability.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based on CVSS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