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and escalated findings to senior reviewers for incident response.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documented findings in audit-ready case documentation for compliance.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for risk management.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for information security.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CVEs,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