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control-testing methodology to identify non-compliant claims and document findings for senior review, ensuring data governance compliance.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policy violations, escalated control gaps to process owners with documented evidence, and replicated audit workflows.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records with investigation rationale, control decisions, and corrective outcomes for compliance monitoring and regulatory reporting.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85).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