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threats and escalating to senior reviewers for further investigation.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detect and prevent anomalous patterns and cyber threats.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with FIRST.org collaboration.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