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repeat case issues across 200+ weekly reviews to identify severity patterns and remediation priorities.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policy exceptions to identify root causes, risk impact, and corrective actions.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cases by severity, supporting prioritization of high-risk exceptions.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findings and corrective actions to support remediation tracking and review evidence.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