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identifying high-risk cases for senior reviewer escalation.</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analyzing policy violations and anomalous patterns to inform decision-making.</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Analyzed 200+ weekly cases to detect recurring fraud patterns, reducing repeat-issue investigation time before escalation.</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Documented investigation findings, decisions, evidence notes, and corrective actions in audit-ready case records.</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(brand impersonation detection)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(threat intelligence) using Python, Telegram bot, and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(web application security) automated web checker sending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using Bash and cron, and built delta-scan logic to flag newly discovered CVEs and organize patch compliance (remediation tracking) tracking evidence using Nessus and OpenVAS.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