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with 100% case resolution rate.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resulting in 95% accurate case decisions.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identify recurring fraud patterns, reducing repeat-issue investigation time by 30% before escalation.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maintaining 99% accuracy and completeness.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vulnerabilities, including injection, auth, and SSRF;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