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mirroring the structured alert triage and escalation workflow used in risk and technical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technical analysis on seller claims to identify policy violations and anomalous patterns; escalated findings to senior reviewers, demonstrating investigative instincts central to risk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 and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