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patterns; escalated findings to senior reviewers, demonstrating investigative instincts central to SOC and fraud analyst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security incident reporting and IT audit.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 (index=* failed | stats count by src_ip), lateral movement, and privilege escalation; mapped TTPs to mitre att&amp;ck (TTP mapping) (T1110, T1078, T1059)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 — reducing mean time to triage by automating repetitive L1 tasks.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and URLScan.io simultaneously; cross-references WHOIS registration age, DNS records, and SSL details to produce a unified phishing probability score.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(brand impersonation detection) domain detector generating character-substitution variants of brand domains and checking live DNS resolution — catches brand-impersonation attacks before they reach threat feeds.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(threat intelligence); supports bulk CSV input/output for incident response workflows and includes osint enrichment (open-source intelligence) via theHarvester for domain profiling.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Security, manage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