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4" w:after="14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prioritizing anomaly signals and escalating findings to senior reviewers.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identifying policy violations and anomalous patterns, and maintained audit-ready case documentation recording investigation findings and corrective actions.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and improving compliance.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for audit-ready case records, ensuring thorough risk management and vulnerability management.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14" w:after="14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brand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Endpoint Security, Incident Response,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4" w:after="1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