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Infosec principles for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utilizing Risk Management strategies to mitigate potential threats.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ensuring Incident Response procedures were followed.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in 200+ weekly cases, reducing repeat-issue investigation time through Threat Intelligence and proactive flagging.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