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 to prioritize high-risk cases.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timely resolution.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accurate and detailed case documentation,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