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security vulnerabilities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cyber policy violations and anomalous patterns.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detecting recurring fraud patterns and reducing repeat-issue investigation time before escalation.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maintaining accurate investigation findings, decisions, evidence notes, and corrective actions in cloud-based systems.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with structured escalation and severity-based prioritization.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CVSS-based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exposure, documenting audit trails.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 for audit trails.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flagging, patch compliance tracking, and severity-based prioritization.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