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driving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reduce repeat-issue investigation time before escalation, achieving efficient case resolution.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transparent and accountable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TTPs,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