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escalation procedures,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escalating findings to senior reviewers for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 and documented investigation findings, decisions, evidence notes, and corrective actions, maintaining audit-ready case records and ensuring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flagged early, reducing repeat-issue investigation time and demonstrating proactive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 integrating Nessus and OpenVAS REST APIs,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to detect injection, auth, and SSRF vulnerabilities, documenting SQL injection remediation and parameterised query best practices.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in Python: ingested Splunk alerts, enriched with VirusTotal API IOC data, and dispatched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sessions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