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100% compliance with review guidelines.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 notes, and corrective actions, ensuring 100% compliance with audit-ready documentation standards.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brand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to flag new CVEs and track patch compliance using Python and Nessus/OpenVAS APIs.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