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 to identify potential fraud risks.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further action.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to ensure compliance and risk management.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and improving overall risk management.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and calculating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