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 for control evidence and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Credit 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identification, Python, risk triage, policy-based risk triage, risk prioritization, escalation priorities, control gap analysis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case notes documenting risk identification and control gap analysis; generated evidence notes and decision trails for risk-based decision-making.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policy exception handling workflow prioritizing risk and ensuring SLA discipline; tracked remediation tracking evidence for risk mitigation.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risk prioritization framework using escalation priorities and risk triage; implemented remediation tracking and compliance tracking for risk-based decision-making.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Credit Risk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Risk identification, risk triage, policy-based risk triage, risk prioritization, escalation priorities, control gap analysis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control gap analysis and risk identification; created decision trails and evidence notes for risk-based decision-making.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risk prioritization framework using escalation priorities and risk triage; implemented remediation tracking and compliance tracking for risk-based decision-making.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risk-based decision-making workflow using risk identification and control gap analysis; tracked remediation tracking evidence for risk mitigation.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