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using structured workflows for timely decision-making and efficient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escalating findings to senior reviewers for improved case quality and reduced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documenting investigation findings, decisions, evidence notes, and corrective actions in audit-ready case records, ensuring transparency and accountability.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recurring fraud patterns, flagging 200+ weekly cases early, reducing repeat-issue investigation time and improving security posture.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CVSS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and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