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and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notes for control evidence and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analyzing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brand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IOC enrichment, supporting CSV input/output for incident response and OSINT enrichment via theHarvester.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REST APIs,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cron, flagging new CVEs and tracking patch compliance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