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policy, following structured workflows, for timely decision-making and efficient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ensuring accurate and thorough case resolution.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identify recurring fraud patterns, reducing repeat-issue investigation time before escalation and minimizing potential losses.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maintaining accurate and transparent case history.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CVSS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exploit and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 using NVD API.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