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and escalation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 and minimizing financial impact.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