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and reducing repeat-issue investigation time before escalation, resulting in enhanced case efficiency and reduced risk exposure.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transparent and compliant case management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