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escalation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accuracy and 100% compliance with regulatory requirements.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