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Financial Regulations and Internal Controls.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Financial Reporting.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