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50+ weekly inventory reimbursement cases by severity and policy eligibility, ensuring compliance with tax laws and regulatory requirements.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demonstrating investigative instincts central to tax compliance and financial regulations.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tax compliance and regulatory reporting.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 CVEs with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Tax laws, SQL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