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flagging anomalies early to prevent repeat issues and optimize investigation efficiency.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case findings, decisions, evidence, and corrective actions in audit-ready records,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 IOC data,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vulnerabilities, including injection, auth, and SSRF;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