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risk prioritization and SLA discipline.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maintaining audit-ready case documentation, recording investigation findings, decisions, evidence,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flagging 200+ weekly cases early, reducing repeat-issue investigation time and enhancing risk mitigation and remediation tracking.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and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and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built delta-scan logic to flag new CVEs and track patch compliance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