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issues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root cause and policy violations to inform decision-making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flagging anomalies early to prevent repeat issues and optimize investigation efficiency.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case findings, decisions, and corrective actions in audit-ready records, ensuring transparency and accountability in case resolution.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