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95% of cases resolved within SLA.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 by 30%.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risk prioritization, SLA discipline, and remediation tracking.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notes, recording investigation findings, decisions, evidence, and corrective actions, ensuring 100% compliance tracking and decision trails.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data to VirusTotal, AbuseIPDB, URLScan.io, and cross-referencing WHOIS, DNS,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using Python, AbuseIPDB, and WHOIS to generate brand domain variants and check live DNS resolution for brand-impersonation analysis.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 using Python, theHarvester, and Telegram bot for domain profiling and bulk CSV input/output.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Integrated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 to detect injection, auth, and SSRF vulnerabilities, documenting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built delta-scan logic to flag new CVEs and track patch compliance using Python and Nessus API.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