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achieving consistent case routing.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producing detailed escalation reports.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files with investigation findings, evidence notes, and corrective actions, maintaining compliance records for 50+ weekly cases.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 and produced CVE report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 and SSRF vulnerabilities and documented SQL injection exploit with parameterised query remediation guide.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delta‑scan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 detection, lateral movement and privilege escalation,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SOAR‑style detection pipeline: Python script ingests Splunk alerts, runs IOC enrichment via VirusTotal API and dispatches Telegram notifications with severity classification notification workflow.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scans, DNS tunnelling and plaintext credential exposure on unencrypted sessions Sigma rule set.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