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IAM inventory reimbursement cases by severity and policy eligibility, mirroring IAM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IAM policy violations and anomalous patterns; escalated findings to senior reviewers, demonstrating IAM investigative instincts.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IAM case documentation recording investigation findings, decisions, and corrective actions, establishing IAM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IAM 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IAM brute-force detection, lateral movement, and privilege escalation;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IAM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IAM detection logic to Sigma rules; performed TCP/IP analysis in Wireshark to detect IAM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IAM 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IAM threat intelligence pipeline: submits suspicious URLs/IPs to VirusTotal, AbuseIPDB, and URLScan.io simultaneously; cross-references WHOIS registration age, DNS records, and SSL certificate details.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IAM typosquatting domain detector that generates character-substitution variants of brand domains and checks live DNS resolution — catches brand-impersonation attacks.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IAM IOC enrichment and receive structured threat reports in-chat; supports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concepts, Active Directory (basics)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