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&amp; policy eligibility, mirroring structured alert triage &amp;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 to identify policy violations &amp; anomalous patterns; escalated findings to senior reviewers, demonstrating investigative instincts central to SOC &amp;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&amp; corrective actions, establishing evidence chain-of-custody discipline required for security incident reporting &amp;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&amp;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 (index=* failed | stats count by src_ip), lateral movement, &amp; privilege escalation; mapped TTPs to MITRE ATT&amp;CK (T1110, T1078, T1059) &amp;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&amp; dispatches Telegram notifications with severity classification — reducing mean time to triage by automating repetitive L1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(vendor-neutral format used by enterprise SOCs); performed TCP/IP analysis in Wireshark to detect SYN scans, DNS tunnelling, &amp;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&amp;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&amp; OpenVAS REST APIs in Python; generates CVE reports classified by CVSS severity; implemented EPSS scoring from FIRST.org API to prioritise by actual exploit probability.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&amp; SSRF vulnerabilities; documented SQL injection exploit &amp;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&amp; cron; built delta-scan logic to flag newly discovered CVEs &amp; calculate remediation SLA deadlines (Critical=24hrs, High=7 days, Medium=30 days) for patch compliance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 basics)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