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7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2" w:after="3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7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 and corrective actions in audit-ready case notes for compliance tracking.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seller claims to identify policy risk and validate decisions against controls.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reimbursement cases for policy exceptions, flagging risk indicators and evidence gaps.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eligibility, supporting audit documentation and control review.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7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32" w:after="3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7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2" w:after="6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62" w:after="6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62" w:after="6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62" w:after="6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62" w:after="62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2" w:after="3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7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