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outcomes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resulting in significant cost savings and improved process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