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90% of cases resolved within SLA.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identified policy violations and anomalous patterns, and escalated findings to senior reviewers, reducing repeat-issue investigation time by 30%.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flagged them early, and reduced repeat-issue investigation time before escalation, resulting in a 25% decrease in repeat issues.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 recording investigation findings, decisions, evidence notes, and corrective actions, ensuring compliance tracking and decision trails for 100% of cases.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Risk Analyst - 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AbuseIPDB, and WHOIS to generate domain variants and check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 using Python, Telegram bot, and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Risk Analyst - 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to flag new CVEs and track patch compliance using Python and Nessus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