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95% SLA adherence.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reducing repeat-issue investigation time by 30%.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audit-ready case documentation, investigation findings, decisions, evidence notes, and corrective actions, maintaining 100% compliance.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flagging them early and reducing repeat-issue investigation time by 40%.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deployed Splunk SIEM with SPL searches for brute-force detection, lateral movement, and privilege escalation (T1110, T1078, T1059), reducing false positives by 95%.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Python, ingesting Splunk alerts, enriching with VirusTotal API, and dispatching Telegram notifications, reducing mean time to triage by 30% and increasing analyst productivity by 25%.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exposure, achieving 99% threat detection accuracy.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submitting suspicious URLs/IPs to VirusTotal, AbuseIPDB, and URLScan.io; achieved 92% phishing detection accuracy using WHOIS, DNS, and SSL cross-references.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resolution, reducing brand-impersonation attacks by 98% through EPSS scoring.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theHarvester, increasing analyst efficiency by 40%.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