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causes and policy violations to inform senior reviewer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reducing repeat-issue investigation time.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