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 50+ weekly inventory reimbursement cases by severity and policy eligibility, adhering to structured alert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compliance.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 assessment, compliance,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